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52" w:rsidRPr="00025752" w:rsidRDefault="00025752" w:rsidP="00025752">
      <w:pPr>
        <w:widowControl/>
        <w:shd w:val="clear" w:color="auto" w:fill="FFFFFF"/>
        <w:jc w:val="left"/>
        <w:rPr>
          <w:rFonts w:ascii="仿宋_GB2312" w:eastAsia="仿宋_GB2312" w:hAnsi="微软雅黑" w:cs="宋体"/>
          <w:color w:val="333333"/>
          <w:kern w:val="0"/>
          <w:sz w:val="32"/>
          <w:szCs w:val="32"/>
        </w:rPr>
      </w:pPr>
      <w:r w:rsidRPr="00025752">
        <w:rPr>
          <w:rFonts w:ascii="仿宋_GB2312" w:eastAsia="仿宋_GB2312" w:hAnsi="微软雅黑" w:cs="宋体" w:hint="eastAsia"/>
          <w:color w:val="333333"/>
          <w:kern w:val="0"/>
          <w:sz w:val="32"/>
          <w:szCs w:val="32"/>
        </w:rPr>
        <w:t>附件</w:t>
      </w:r>
      <w:r w:rsidR="009B6295">
        <w:rPr>
          <w:rFonts w:ascii="仿宋_GB2312" w:eastAsia="仿宋_GB2312" w:hAnsi="微软雅黑" w:cs="宋体" w:hint="eastAsia"/>
          <w:color w:val="333333"/>
          <w:kern w:val="0"/>
          <w:sz w:val="32"/>
          <w:szCs w:val="32"/>
        </w:rPr>
        <w:t>2</w:t>
      </w:r>
      <w:r w:rsidRPr="00025752">
        <w:rPr>
          <w:rFonts w:ascii="仿宋_GB2312" w:eastAsia="仿宋_GB2312" w:hAnsi="微软雅黑" w:cs="宋体" w:hint="eastAsia"/>
          <w:color w:val="333333"/>
          <w:kern w:val="0"/>
          <w:sz w:val="32"/>
          <w:szCs w:val="32"/>
        </w:rPr>
        <w:t>：</w:t>
      </w:r>
    </w:p>
    <w:p w:rsidR="00BC0F2D" w:rsidRPr="00BC0F2D" w:rsidRDefault="00BC0F2D" w:rsidP="00BC0F2D">
      <w:pPr>
        <w:widowControl/>
        <w:shd w:val="clear" w:color="auto" w:fill="FFFFFF"/>
        <w:jc w:val="center"/>
        <w:rPr>
          <w:rFonts w:ascii="方正小标宋简体" w:eastAsia="方正小标宋简体" w:hAnsi="微软雅黑" w:cs="宋体"/>
          <w:color w:val="333333"/>
          <w:kern w:val="0"/>
          <w:sz w:val="36"/>
          <w:szCs w:val="36"/>
        </w:rPr>
      </w:pPr>
      <w:r w:rsidRPr="00BC0F2D">
        <w:rPr>
          <w:rFonts w:ascii="方正小标宋简体" w:eastAsia="方正小标宋简体" w:hAnsi="微软雅黑" w:cs="宋体" w:hint="eastAsia"/>
          <w:color w:val="333333"/>
          <w:kern w:val="0"/>
          <w:sz w:val="36"/>
          <w:szCs w:val="36"/>
        </w:rPr>
        <w:t>国家税务总局</w:t>
      </w:r>
    </w:p>
    <w:p w:rsidR="00934BB4" w:rsidRDefault="00BC0F2D" w:rsidP="00BC0F2D">
      <w:pPr>
        <w:jc w:val="center"/>
        <w:rPr>
          <w:rFonts w:ascii="方正小标宋简体" w:eastAsia="方正小标宋简体" w:hAnsi="微软雅黑" w:cs="宋体"/>
          <w:color w:val="333333"/>
          <w:kern w:val="0"/>
          <w:sz w:val="36"/>
          <w:szCs w:val="36"/>
        </w:rPr>
      </w:pPr>
      <w:r w:rsidRPr="00BC0F2D">
        <w:rPr>
          <w:rFonts w:ascii="方正小标宋简体" w:eastAsia="方正小标宋简体" w:hAnsi="微软雅黑" w:cs="宋体" w:hint="eastAsia"/>
          <w:color w:val="333333"/>
          <w:kern w:val="0"/>
          <w:sz w:val="36"/>
          <w:szCs w:val="36"/>
        </w:rPr>
        <w:t>关于办理20</w:t>
      </w:r>
      <w:r w:rsidR="006D284B">
        <w:rPr>
          <w:rFonts w:ascii="方正小标宋简体" w:eastAsia="方正小标宋简体" w:hAnsi="微软雅黑" w:cs="宋体" w:hint="eastAsia"/>
          <w:color w:val="333333"/>
          <w:kern w:val="0"/>
          <w:sz w:val="36"/>
          <w:szCs w:val="36"/>
        </w:rPr>
        <w:t>20</w:t>
      </w:r>
      <w:r w:rsidRPr="00BC0F2D">
        <w:rPr>
          <w:rFonts w:ascii="方正小标宋简体" w:eastAsia="方正小标宋简体" w:hAnsi="微软雅黑" w:cs="宋体" w:hint="eastAsia"/>
          <w:color w:val="333333"/>
          <w:kern w:val="0"/>
          <w:sz w:val="36"/>
          <w:szCs w:val="36"/>
        </w:rPr>
        <w:t>年度个人所得税综合所得汇算清缴</w:t>
      </w:r>
    </w:p>
    <w:p w:rsidR="00BC0F2D" w:rsidRDefault="00BC0F2D" w:rsidP="00BC0F2D">
      <w:pPr>
        <w:jc w:val="center"/>
        <w:rPr>
          <w:rFonts w:ascii="方正小标宋简体" w:eastAsia="方正小标宋简体" w:hAnsi="微软雅黑" w:cs="宋体"/>
          <w:color w:val="333333"/>
          <w:kern w:val="0"/>
          <w:sz w:val="36"/>
          <w:szCs w:val="36"/>
        </w:rPr>
      </w:pPr>
      <w:r w:rsidRPr="00BC0F2D">
        <w:rPr>
          <w:rFonts w:ascii="方正小标宋简体" w:eastAsia="方正小标宋简体" w:hAnsi="微软雅黑" w:cs="宋体" w:hint="eastAsia"/>
          <w:color w:val="333333"/>
          <w:kern w:val="0"/>
          <w:sz w:val="36"/>
          <w:szCs w:val="36"/>
        </w:rPr>
        <w:t>事项的</w:t>
      </w:r>
      <w:r>
        <w:rPr>
          <w:rFonts w:ascii="方正小标宋简体" w:eastAsia="方正小标宋简体" w:hAnsi="微软雅黑" w:cs="宋体" w:hint="eastAsia"/>
          <w:color w:val="333333"/>
          <w:kern w:val="0"/>
          <w:sz w:val="36"/>
          <w:szCs w:val="36"/>
        </w:rPr>
        <w:t>公告</w:t>
      </w:r>
    </w:p>
    <w:p w:rsidR="0038799B" w:rsidRDefault="00BC0F2D" w:rsidP="00BC0F2D">
      <w:pPr>
        <w:jc w:val="center"/>
        <w:rPr>
          <w:rFonts w:ascii="方正小标宋简体" w:eastAsia="方正小标宋简体" w:hAnsi="微软雅黑" w:cs="宋体"/>
          <w:color w:val="666666"/>
          <w:kern w:val="0"/>
          <w:szCs w:val="21"/>
        </w:rPr>
      </w:pPr>
      <w:r w:rsidRPr="00BC0F2D">
        <w:rPr>
          <w:rFonts w:ascii="方正小标宋简体" w:eastAsia="方正小标宋简体" w:hAnsi="微软雅黑" w:cs="宋体" w:hint="eastAsia"/>
          <w:color w:val="666666"/>
          <w:kern w:val="0"/>
          <w:szCs w:val="21"/>
        </w:rPr>
        <w:t>国家税务总局公告</w:t>
      </w:r>
      <w:r w:rsidR="006D284B">
        <w:rPr>
          <w:rFonts w:ascii="方正小标宋简体" w:eastAsia="方正小标宋简体" w:hAnsi="微软雅黑" w:cs="宋体" w:hint="eastAsia"/>
          <w:color w:val="666666"/>
          <w:kern w:val="0"/>
          <w:szCs w:val="21"/>
        </w:rPr>
        <w:t>2021年第2</w:t>
      </w:r>
      <w:r w:rsidRPr="00BC0F2D">
        <w:rPr>
          <w:rFonts w:ascii="方正小标宋简体" w:eastAsia="方正小标宋简体" w:hAnsi="微软雅黑" w:cs="宋体" w:hint="eastAsia"/>
          <w:color w:val="666666"/>
          <w:kern w:val="0"/>
          <w:szCs w:val="21"/>
        </w:rPr>
        <w:t>号</w:t>
      </w:r>
    </w:p>
    <w:p w:rsidR="006D284B" w:rsidRDefault="006D284B"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6D284B">
        <w:rPr>
          <w:rFonts w:ascii="仿宋_GB2312" w:eastAsia="仿宋_GB2312" w:hAnsi="微软雅黑" w:cs="宋体" w:hint="eastAsia"/>
          <w:color w:val="333333"/>
          <w:kern w:val="0"/>
          <w:sz w:val="28"/>
          <w:szCs w:val="28"/>
        </w:rPr>
        <w:t>为切实维护纳税人合法权益，合理有序建立健全个人所得税综合所得汇算清缴制度，根据个人所得税法及其实施条例（以下简称“税法”）和税收征收管理法及其实施细则有关规定，现就办理2020年度个人所得税综合所得汇算清缴（以下简称“年度汇算”）有关事项公告如下：</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一、年度汇算的内容</w:t>
      </w:r>
    </w:p>
    <w:p w:rsidR="006D284B" w:rsidRPr="006D284B" w:rsidRDefault="006D284B" w:rsidP="006D284B">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6D284B">
        <w:rPr>
          <w:rFonts w:ascii="仿宋_GB2312" w:eastAsia="仿宋_GB2312" w:hAnsi="微软雅黑" w:cs="宋体" w:hint="eastAsia"/>
          <w:color w:val="333333"/>
          <w:kern w:val="0"/>
          <w:sz w:val="28"/>
          <w:szCs w:val="28"/>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p>
    <w:p w:rsidR="006D284B" w:rsidRPr="006D284B" w:rsidRDefault="006D284B" w:rsidP="006D284B">
      <w:pPr>
        <w:widowControl/>
        <w:shd w:val="clear" w:color="auto" w:fill="FFFFFF"/>
        <w:spacing w:line="540" w:lineRule="atLeast"/>
        <w:ind w:firstLine="480"/>
        <w:rPr>
          <w:rFonts w:ascii="仿宋_GB2312" w:eastAsia="仿宋_GB2312" w:hAnsi="微软雅黑" w:cs="宋体"/>
          <w:color w:val="333333"/>
          <w:kern w:val="0"/>
          <w:sz w:val="28"/>
          <w:szCs w:val="28"/>
        </w:rPr>
      </w:pPr>
    </w:p>
    <w:p w:rsidR="006D284B" w:rsidRPr="006D284B" w:rsidRDefault="006D284B" w:rsidP="006D284B">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6D284B">
        <w:rPr>
          <w:rFonts w:ascii="仿宋_GB2312" w:eastAsia="仿宋_GB2312" w:hAnsi="微软雅黑" w:cs="宋体" w:hint="eastAsia"/>
          <w:color w:val="333333"/>
          <w:kern w:val="0"/>
          <w:sz w:val="28"/>
          <w:szCs w:val="28"/>
        </w:rPr>
        <w:lastRenderedPageBreak/>
        <w:t>应退或应补税额=[（综合所得收入额-60000元-“三险一金”等专项扣除-子女教育等专项附加扣除-依法确定的其他扣除-捐赠）×适用税率-速算扣除数]-2020年已预缴税额</w:t>
      </w:r>
    </w:p>
    <w:p w:rsidR="00BC0F2D" w:rsidRPr="00BC0F2D" w:rsidRDefault="006D284B" w:rsidP="006D284B">
      <w:pPr>
        <w:widowControl/>
        <w:shd w:val="clear" w:color="auto" w:fill="FFFFFF"/>
        <w:spacing w:line="540" w:lineRule="atLeast"/>
        <w:ind w:firstLine="480"/>
        <w:rPr>
          <w:rFonts w:ascii="仿宋_GB2312" w:eastAsia="仿宋_GB2312" w:hAnsi="微软雅黑" w:cs="宋体"/>
          <w:color w:val="333333"/>
          <w:kern w:val="0"/>
          <w:sz w:val="28"/>
          <w:szCs w:val="28"/>
        </w:rPr>
      </w:pPr>
      <w:r w:rsidRPr="006D284B">
        <w:rPr>
          <w:rFonts w:ascii="仿宋_GB2312" w:eastAsia="仿宋_GB2312" w:hAnsi="微软雅黑" w:cs="宋体" w:hint="eastAsia"/>
          <w:color w:val="333333"/>
          <w:kern w:val="0"/>
          <w:sz w:val="28"/>
          <w:szCs w:val="28"/>
        </w:rPr>
        <w:t>依据税法规定，年度汇算不涉及财产租赁等分类所得，以及纳税人按规定选择不并入综合所得计算纳税的全年一次性奖金等所得。</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二、无需办理年度汇算的纳税人</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经国务院批准，依据《财政部</w:t>
      </w:r>
      <w:r w:rsidRPr="00BC0F2D">
        <w:rPr>
          <w:rFonts w:ascii="仿宋_GB2312" w:eastAsia="仿宋_GB2312" w:hAnsi="微软雅黑" w:cs="宋体" w:hint="eastAsia"/>
          <w:color w:val="333333"/>
          <w:kern w:val="0"/>
          <w:sz w:val="28"/>
          <w:szCs w:val="28"/>
        </w:rPr>
        <w:t> </w:t>
      </w:r>
      <w:r w:rsidRPr="00BC0F2D">
        <w:rPr>
          <w:rFonts w:ascii="仿宋_GB2312" w:eastAsia="仿宋_GB2312" w:hAnsi="微软雅黑" w:cs="宋体" w:hint="eastAsia"/>
          <w:color w:val="333333"/>
          <w:kern w:val="0"/>
          <w:sz w:val="28"/>
          <w:szCs w:val="28"/>
        </w:rPr>
        <w:t>税务总局关于个人所得税综合所得汇算清缴涉及有关政策问题的公告》（2019年第94号）有关规定，纳税人在20</w:t>
      </w:r>
      <w:r w:rsidR="006D284B">
        <w:rPr>
          <w:rFonts w:ascii="仿宋_GB2312" w:eastAsia="仿宋_GB2312" w:hAnsi="微软雅黑" w:cs="宋体"/>
          <w:color w:val="333333"/>
          <w:kern w:val="0"/>
          <w:sz w:val="28"/>
          <w:szCs w:val="28"/>
        </w:rPr>
        <w:t>20</w:t>
      </w:r>
      <w:r w:rsidRPr="00BC0F2D">
        <w:rPr>
          <w:rFonts w:ascii="仿宋_GB2312" w:eastAsia="仿宋_GB2312" w:hAnsi="微软雅黑" w:cs="宋体" w:hint="eastAsia"/>
          <w:color w:val="333333"/>
          <w:kern w:val="0"/>
          <w:sz w:val="28"/>
          <w:szCs w:val="28"/>
        </w:rPr>
        <w:t>年度已依法预缴个人所得税且符合下列情形之一的，无需办理年度汇算：</w:t>
      </w:r>
    </w:p>
    <w:p w:rsidR="00BC0F2D" w:rsidRPr="00BC0F2D" w:rsidRDefault="006D284B"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（一）</w:t>
      </w:r>
      <w:r w:rsidR="00BC0F2D" w:rsidRPr="00BC0F2D">
        <w:rPr>
          <w:rFonts w:ascii="仿宋_GB2312" w:eastAsia="仿宋_GB2312" w:hAnsi="微软雅黑" w:cs="宋体" w:hint="eastAsia"/>
          <w:color w:val="333333"/>
          <w:kern w:val="0"/>
          <w:sz w:val="28"/>
          <w:szCs w:val="28"/>
        </w:rPr>
        <w:t>年度汇算需补税但年度综合所得收入不超过12万元的；</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（二）年度汇算需补税金额不超过400元的；</w:t>
      </w:r>
    </w:p>
    <w:p w:rsidR="00023A11" w:rsidRDefault="00BC0F2D" w:rsidP="00023A11">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（三）已预缴税额与年度应纳税额一致或者不申请退税的。</w:t>
      </w:r>
    </w:p>
    <w:p w:rsidR="00BC0F2D" w:rsidRPr="00023A11" w:rsidRDefault="00BC0F2D" w:rsidP="00023A11">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黑体" w:eastAsia="黑体" w:hAnsi="黑体" w:cs="宋体" w:hint="eastAsia"/>
          <w:b/>
          <w:bCs/>
          <w:color w:val="333333"/>
          <w:kern w:val="0"/>
          <w:sz w:val="28"/>
          <w:szCs w:val="28"/>
        </w:rPr>
        <w:t>三、需要办理年度汇算的纳税人</w:t>
      </w:r>
    </w:p>
    <w:p w:rsidR="00BC0F2D" w:rsidRPr="00BC0F2D" w:rsidRDefault="00BC0F2D" w:rsidP="00023A11">
      <w:pPr>
        <w:widowControl/>
        <w:shd w:val="clear" w:color="auto" w:fill="FFFFFF"/>
        <w:spacing w:line="540" w:lineRule="atLeast"/>
        <w:ind w:firstLineChars="200" w:firstLine="56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依据税法规定，符合下列情形之一的，纳税人需要办理年度汇算：</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（一）已预缴税额大于年度应纳税额且申请退税的</w:t>
      </w:r>
      <w:r w:rsidR="00023A11">
        <w:rPr>
          <w:rFonts w:ascii="仿宋_GB2312" w:eastAsia="仿宋_GB2312" w:hAnsi="微软雅黑" w:cs="宋体" w:hint="eastAsia"/>
          <w:color w:val="333333"/>
          <w:kern w:val="0"/>
          <w:sz w:val="28"/>
          <w:szCs w:val="28"/>
        </w:rPr>
        <w:t>；</w:t>
      </w:r>
      <w:r w:rsidR="00023A11" w:rsidRPr="00BC0F2D">
        <w:rPr>
          <w:rFonts w:ascii="仿宋_GB2312" w:eastAsia="仿宋_GB2312" w:hAnsi="微软雅黑" w:cs="宋体"/>
          <w:color w:val="333333"/>
          <w:kern w:val="0"/>
          <w:sz w:val="28"/>
          <w:szCs w:val="28"/>
        </w:rPr>
        <w:t xml:space="preserve"> </w:t>
      </w:r>
    </w:p>
    <w:p w:rsidR="00BC0F2D" w:rsidRPr="00023A11" w:rsidRDefault="00BC0F2D" w:rsidP="00023A11">
      <w:pPr>
        <w:widowControl/>
        <w:shd w:val="clear" w:color="auto" w:fill="FFFFFF"/>
        <w:spacing w:line="540" w:lineRule="atLeast"/>
        <w:ind w:leftChars="250" w:left="525"/>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（二）</w:t>
      </w:r>
      <w:r w:rsidR="00023A11">
        <w:rPr>
          <w:rFonts w:ascii="仿宋_GB2312" w:eastAsia="仿宋_GB2312" w:hAnsi="微软雅黑" w:cs="宋体"/>
          <w:color w:val="333333"/>
          <w:kern w:val="0"/>
          <w:sz w:val="28"/>
          <w:szCs w:val="28"/>
        </w:rPr>
        <w:t xml:space="preserve"> </w:t>
      </w:r>
      <w:r w:rsidRPr="00BC0F2D">
        <w:rPr>
          <w:rFonts w:ascii="仿宋_GB2312" w:eastAsia="仿宋_GB2312" w:hAnsi="微软雅黑" w:cs="宋体" w:hint="eastAsia"/>
          <w:color w:val="333333"/>
          <w:kern w:val="0"/>
          <w:sz w:val="28"/>
          <w:szCs w:val="28"/>
        </w:rPr>
        <w:t>综合所得收入超过12万元且需要补税金额超过400元的。</w:t>
      </w:r>
      <w:r w:rsidRPr="00BC0F2D">
        <w:rPr>
          <w:rFonts w:ascii="黑体" w:eastAsia="黑体" w:hAnsi="黑体" w:cs="宋体" w:hint="eastAsia"/>
          <w:b/>
          <w:bCs/>
          <w:color w:val="333333"/>
          <w:kern w:val="0"/>
          <w:sz w:val="28"/>
          <w:szCs w:val="28"/>
        </w:rPr>
        <w:t>四、可享受的税前扣除</w:t>
      </w:r>
    </w:p>
    <w:p w:rsidR="00BC0F2D" w:rsidRPr="00BC0F2D" w:rsidRDefault="00023A11"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023A11">
        <w:rPr>
          <w:rFonts w:ascii="仿宋_GB2312" w:eastAsia="仿宋_GB2312" w:hAnsi="微软雅黑" w:cs="宋体" w:hint="eastAsia"/>
          <w:color w:val="333333"/>
          <w:kern w:val="0"/>
          <w:sz w:val="28"/>
          <w:szCs w:val="28"/>
        </w:rPr>
        <w:t>下列在2020年度发生的，且未申报扣除或未足额扣除的税前扣除项目，纳税人可在年度汇算期间办理扣除或补充扣除：</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（一）纳税人及其配偶、未成年子女符合条件的大病医疗支出；</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lastRenderedPageBreak/>
        <w:t>（二）纳税人在2019年度未申报享受或未足额享受的子女教育、继续教育、住房贷款利息或住房租金、赡养老人专项附加扣除，以及减除费用、专项扣除、依法确定的其他扣除；</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（三）纳税人符合条件的捐赠支出。</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五、办理时间</w:t>
      </w:r>
    </w:p>
    <w:p w:rsidR="00BC0F2D" w:rsidRPr="00BC0F2D" w:rsidRDefault="00107165"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107165">
        <w:rPr>
          <w:rFonts w:ascii="仿宋_GB2312" w:eastAsia="仿宋_GB2312" w:hAnsi="微软雅黑" w:cs="宋体" w:hint="eastAsia"/>
          <w:color w:val="333333"/>
          <w:kern w:val="0"/>
          <w:sz w:val="28"/>
          <w:szCs w:val="28"/>
        </w:rPr>
        <w:t>年度汇算时间为2021年3月1日至6月30日。在中国境内无住所的纳税人在2021年3月1日前离境的，可以在离境前办理年度汇算。</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六、办理方式</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纳税人可自主选择下列办理方式：</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（一）自行办理年度汇算。</w:t>
      </w:r>
    </w:p>
    <w:p w:rsidR="00107165" w:rsidRPr="00107165" w:rsidRDefault="00BC0F2D" w:rsidP="00107165">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BC0F2D">
        <w:rPr>
          <w:rFonts w:ascii="仿宋_GB2312" w:eastAsia="仿宋_GB2312" w:hAnsi="微软雅黑" w:cs="宋体" w:hint="eastAsia"/>
          <w:color w:val="333333"/>
          <w:kern w:val="0"/>
          <w:sz w:val="28"/>
          <w:szCs w:val="28"/>
        </w:rPr>
        <w:t>（二）</w:t>
      </w:r>
      <w:r w:rsidR="00107165" w:rsidRPr="00107165">
        <w:rPr>
          <w:rFonts w:ascii="仿宋_GB2312" w:eastAsia="仿宋_GB2312" w:hAnsi="微软雅黑" w:cs="宋体" w:hint="eastAsia"/>
          <w:color w:val="333333"/>
          <w:kern w:val="0"/>
          <w:sz w:val="28"/>
          <w:szCs w:val="28"/>
        </w:rPr>
        <w:t>通过任职受雇单位（含按累计预扣法预扣预缴其劳务报酬所得个人所得税的单位，下同。以下简称“单位”）代为办理。</w:t>
      </w:r>
    </w:p>
    <w:p w:rsidR="00107165" w:rsidRPr="00107165" w:rsidRDefault="00107165" w:rsidP="00107165">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107165">
        <w:rPr>
          <w:rFonts w:ascii="仿宋_GB2312" w:eastAsia="仿宋_GB2312" w:hAnsi="微软雅黑" w:cs="宋体" w:hint="eastAsia"/>
          <w:color w:val="333333"/>
          <w:kern w:val="0"/>
          <w:sz w:val="28"/>
          <w:szCs w:val="28"/>
        </w:rPr>
        <w:t>纳税人提出代办要求的，单位应当代为办理，或者培训、辅导纳税人通过网上税务局（包括手机个人所得税APP，下同）完成年度汇算申报和退（补）税。</w:t>
      </w:r>
    </w:p>
    <w:p w:rsidR="00BC0F2D" w:rsidRPr="00BC0F2D" w:rsidRDefault="00107165" w:rsidP="00107165">
      <w:pPr>
        <w:widowControl/>
        <w:shd w:val="clear" w:color="auto" w:fill="FFFFFF"/>
        <w:spacing w:line="540" w:lineRule="atLeast"/>
        <w:ind w:firstLine="480"/>
        <w:rPr>
          <w:rFonts w:ascii="仿宋_GB2312" w:eastAsia="仿宋_GB2312" w:hAnsi="微软雅黑" w:cs="宋体"/>
          <w:color w:val="333333"/>
          <w:kern w:val="0"/>
          <w:sz w:val="28"/>
          <w:szCs w:val="28"/>
        </w:rPr>
      </w:pPr>
      <w:r w:rsidRPr="00107165">
        <w:rPr>
          <w:rFonts w:ascii="仿宋_GB2312" w:eastAsia="仿宋_GB2312" w:hAnsi="微软雅黑" w:cs="宋体" w:hint="eastAsia"/>
          <w:color w:val="333333"/>
          <w:kern w:val="0"/>
          <w:sz w:val="28"/>
          <w:szCs w:val="28"/>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lastRenderedPageBreak/>
        <w:t>（三）委托涉税专业服务机构或其他单位及个人（以下称“受托人”）办理，受托人需与纳税人签订授权书。</w:t>
      </w:r>
    </w:p>
    <w:p w:rsidR="00BC0F2D" w:rsidRPr="00BC0F2D" w:rsidRDefault="00107165"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107165">
        <w:rPr>
          <w:rFonts w:ascii="仿宋_GB2312" w:eastAsia="仿宋_GB2312" w:hAnsi="微软雅黑" w:cs="宋体" w:hint="eastAsia"/>
          <w:color w:val="333333"/>
          <w:kern w:val="0"/>
          <w:sz w:val="28"/>
          <w:szCs w:val="28"/>
        </w:rPr>
        <w:t>单位或受托人为纳税人办理年度汇算后，应当及时将办理情况告知纳税人。纳税人发现申报信息存在错误的，可以要求单位或受托人办理更正申报，也可自行办理更正申报。</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七、办理渠道</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为便利纳税人，税务机关为纳税人提供高效、快捷的网络办税渠道。纳税人可优先通过网上税务局办理年度汇算，税务机关将按规定为纳税人提供申报表预填服务；不方便通过上述方式办理的，也可以通过邮寄方式或到办税服务厅办理。</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选择邮寄申报的，</w:t>
      </w:r>
      <w:r w:rsidR="00BF47E6" w:rsidRPr="00BF47E6">
        <w:rPr>
          <w:rFonts w:ascii="仿宋_GB2312" w:eastAsia="仿宋_GB2312" w:hAnsi="微软雅黑" w:cs="宋体" w:hint="eastAsia"/>
          <w:color w:val="333333"/>
          <w:kern w:val="0"/>
          <w:sz w:val="28"/>
          <w:szCs w:val="28"/>
        </w:rPr>
        <w:t>纳税人需将申报表寄送至按本公告第九条确定的主管税务机关所在省、自治区、直辖市和计划单列市税务局公告的地址。</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八、申报信息及资料留存</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纳税人办理2020年度汇算的，适用个人所得税年度自行纳税申报表（附件2、3），如需修改本人相关基础信息，新增享受扣除或者税收优惠的，还应按规定一并填报相关信息。纳税人需仔细核对，确保所填信息真实、准确、完整。</w:t>
      </w:r>
    </w:p>
    <w:p w:rsidR="00BC0F2D" w:rsidRPr="00BC0F2D" w:rsidRDefault="0089573D" w:rsidP="0089573D">
      <w:pPr>
        <w:widowControl/>
        <w:shd w:val="clear" w:color="auto" w:fill="FFFFFF"/>
        <w:spacing w:line="540" w:lineRule="atLeast"/>
        <w:ind w:firstLine="480"/>
        <w:rPr>
          <w:rFonts w:ascii="仿宋_GB2312" w:eastAsia="仿宋_GB2312" w:hAnsi="微软雅黑" w:cs="宋体"/>
          <w:color w:val="333333"/>
          <w:kern w:val="0"/>
          <w:sz w:val="28"/>
          <w:szCs w:val="28"/>
        </w:rPr>
      </w:pPr>
      <w:r w:rsidRPr="0089573D">
        <w:rPr>
          <w:rFonts w:ascii="仿宋_GB2312" w:eastAsia="仿宋_GB2312" w:hAnsi="微软雅黑" w:cs="宋体" w:hint="eastAsia"/>
          <w:color w:val="333333"/>
          <w:kern w:val="0"/>
          <w:sz w:val="28"/>
          <w:szCs w:val="28"/>
        </w:rPr>
        <w:t>纳税人、代办年度汇算的单位，需各自将年度汇算申报表以及纳税人综合所得收入、扣除、已缴税额或税收优惠等相关资料，自年度汇算期结束之日起留存5年。</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九、接受年度汇算申报的税务机关</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lastRenderedPageBreak/>
        <w:t>按照方便就近原则，纳税人自行办理或受托人为纳税人代为办理年度汇算的，向纳税人任职受雇单位的主管税务机关申报；有两处及以上任职受雇单位的，可自主选择向其中一处申报。</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纳税人没有任职受雇单位的，向其户籍所在地、经常居住地或者主要收入来源地的主管税务机关申报。主要收入来源地，是指纳税人纳税年度内取得的劳务报酬、稿酬及特许权使用费三项所得累计收入最大的扣缴义务人所在地。</w:t>
      </w:r>
    </w:p>
    <w:p w:rsidR="00BC0F2D" w:rsidRPr="00BC0F2D" w:rsidRDefault="0089573D" w:rsidP="0089573D">
      <w:pPr>
        <w:widowControl/>
        <w:shd w:val="clear" w:color="auto" w:fill="FFFFFF"/>
        <w:spacing w:line="540" w:lineRule="atLeast"/>
        <w:ind w:firstLine="480"/>
        <w:rPr>
          <w:rFonts w:ascii="仿宋_GB2312" w:eastAsia="仿宋_GB2312" w:hAnsi="微软雅黑" w:cs="宋体"/>
          <w:color w:val="333333"/>
          <w:kern w:val="0"/>
          <w:sz w:val="28"/>
          <w:szCs w:val="28"/>
        </w:rPr>
      </w:pPr>
      <w:r w:rsidRPr="0089573D">
        <w:rPr>
          <w:rFonts w:ascii="仿宋_GB2312" w:eastAsia="仿宋_GB2312" w:hAnsi="微软雅黑" w:cs="宋体" w:hint="eastAsia"/>
          <w:color w:val="333333"/>
          <w:kern w:val="0"/>
          <w:sz w:val="28"/>
          <w:szCs w:val="28"/>
        </w:rPr>
        <w:t>单位为纳税人代办年度汇算的，向单位的主管税务机关申报。</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十、年度汇算的退税、补税</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（一）办理退税</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为方便纳税人获取退税，综合所得全年收入额不超过6万元且已预缴个人所得税的，税务机关在网上税务局提供便捷退税功能。纳税人可以在2021年3月1日至5月31日期间，通过简易申报表办理年度汇算退税。</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申请2020年度汇算退税的纳税人，如存在应当办理2019年度汇算补税但未办理，或者经税务机关通知2019年度汇算申报存在疑点</w:t>
      </w:r>
      <w:r w:rsidRPr="0089573D">
        <w:rPr>
          <w:rFonts w:ascii="仿宋_GB2312" w:eastAsia="仿宋_GB2312" w:hAnsi="微软雅黑" w:cs="宋体" w:hint="eastAsia"/>
          <w:color w:val="333333"/>
          <w:kern w:val="0"/>
          <w:sz w:val="28"/>
          <w:szCs w:val="28"/>
        </w:rPr>
        <w:lastRenderedPageBreak/>
        <w:t>但拒不更正或说明情况的，需在办理2019年度汇算申报补税、更正申报或者说明有关情况后依法申请退税。</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（二）办理补税</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rsidR="00BC0F2D" w:rsidRPr="00BC0F2D" w:rsidRDefault="0089573D" w:rsidP="0089573D">
      <w:pPr>
        <w:widowControl/>
        <w:shd w:val="clear" w:color="auto" w:fill="FFFFFF"/>
        <w:spacing w:line="540" w:lineRule="atLeast"/>
        <w:ind w:firstLine="480"/>
        <w:rPr>
          <w:rFonts w:ascii="仿宋_GB2312" w:eastAsia="仿宋_GB2312" w:hAnsi="微软雅黑" w:cs="宋体"/>
          <w:color w:val="333333"/>
          <w:kern w:val="0"/>
          <w:sz w:val="28"/>
          <w:szCs w:val="28"/>
        </w:rPr>
      </w:pPr>
      <w:r w:rsidRPr="0089573D">
        <w:rPr>
          <w:rFonts w:ascii="仿宋_GB2312" w:eastAsia="仿宋_GB2312" w:hAnsi="微软雅黑" w:cs="宋体" w:hint="eastAsia"/>
          <w:color w:val="333333"/>
          <w:kern w:val="0"/>
          <w:sz w:val="28"/>
          <w:szCs w:val="28"/>
        </w:rPr>
        <w:t>纳税人因申报信息填写错误造成年度汇算多退或少缴税款的，纳税人主动或经税务机关提醒后及时改正的，税务机关可以按照“首违不罚”原则免予处罚。</w:t>
      </w:r>
    </w:p>
    <w:p w:rsidR="00BC0F2D" w:rsidRPr="00BC0F2D" w:rsidRDefault="00BC0F2D" w:rsidP="00BC0F2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十一、年度汇算服务</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rsidR="00BC0F2D" w:rsidRDefault="0089573D" w:rsidP="0089573D">
      <w:pPr>
        <w:widowControl/>
        <w:shd w:val="clear" w:color="auto" w:fill="FFFFFF"/>
        <w:spacing w:line="540" w:lineRule="atLeast"/>
        <w:ind w:firstLine="480"/>
        <w:rPr>
          <w:rFonts w:ascii="仿宋_GB2312" w:eastAsia="仿宋_GB2312" w:hAnsi="微软雅黑" w:cs="宋体"/>
          <w:color w:val="333333"/>
          <w:kern w:val="0"/>
          <w:sz w:val="28"/>
          <w:szCs w:val="28"/>
        </w:rPr>
      </w:pPr>
      <w:r w:rsidRPr="0089573D">
        <w:rPr>
          <w:rFonts w:ascii="仿宋_GB2312" w:eastAsia="仿宋_GB2312" w:hAnsi="微软雅黑" w:cs="宋体" w:hint="eastAsia"/>
          <w:color w:val="333333"/>
          <w:kern w:val="0"/>
          <w:sz w:val="28"/>
          <w:szCs w:val="28"/>
        </w:rPr>
        <w:t>为合理有序引导纳税人办理年度汇算，主管税务机关将分批分期通知提醒纳税人在确定的时间段内办理。纳税人如需提前或延后办理的，可与税务机关预约或通过网上税务局在年度汇算期内办理。对于独立完成年度汇算存在困难的年长、行动不便等特殊人群，由纳税人提出申请，税务机关可提供个性化年度汇算服务。</w:t>
      </w:r>
    </w:p>
    <w:p w:rsidR="0089573D" w:rsidRPr="00BC0F2D" w:rsidRDefault="0089573D" w:rsidP="0089573D">
      <w:pPr>
        <w:widowControl/>
        <w:shd w:val="clear" w:color="auto" w:fill="FFFFFF"/>
        <w:spacing w:line="540" w:lineRule="atLeast"/>
        <w:ind w:firstLine="480"/>
        <w:rPr>
          <w:rFonts w:ascii="黑体" w:eastAsia="黑体" w:hAnsi="黑体" w:cs="宋体"/>
          <w:color w:val="333333"/>
          <w:kern w:val="0"/>
          <w:sz w:val="28"/>
          <w:szCs w:val="28"/>
        </w:rPr>
      </w:pPr>
      <w:r w:rsidRPr="00BC0F2D">
        <w:rPr>
          <w:rFonts w:ascii="黑体" w:eastAsia="黑体" w:hAnsi="黑体" w:cs="宋体" w:hint="eastAsia"/>
          <w:b/>
          <w:bCs/>
          <w:color w:val="333333"/>
          <w:kern w:val="0"/>
          <w:sz w:val="28"/>
          <w:szCs w:val="28"/>
        </w:rPr>
        <w:t>十</w:t>
      </w:r>
      <w:r>
        <w:rPr>
          <w:rFonts w:ascii="黑体" w:eastAsia="黑体" w:hAnsi="黑体" w:cs="宋体" w:hint="eastAsia"/>
          <w:b/>
          <w:bCs/>
          <w:color w:val="333333"/>
          <w:kern w:val="0"/>
          <w:sz w:val="28"/>
          <w:szCs w:val="28"/>
        </w:rPr>
        <w:t>二</w:t>
      </w:r>
      <w:r w:rsidRPr="00BC0F2D">
        <w:rPr>
          <w:rFonts w:ascii="黑体" w:eastAsia="黑体" w:hAnsi="黑体" w:cs="宋体" w:hint="eastAsia"/>
          <w:b/>
          <w:bCs/>
          <w:color w:val="333333"/>
          <w:kern w:val="0"/>
          <w:sz w:val="28"/>
          <w:szCs w:val="28"/>
        </w:rPr>
        <w:t>、</w:t>
      </w:r>
      <w:r>
        <w:rPr>
          <w:rFonts w:ascii="黑体" w:eastAsia="黑体" w:hAnsi="黑体" w:cs="宋体" w:hint="eastAsia"/>
          <w:b/>
          <w:bCs/>
          <w:color w:val="333333"/>
          <w:kern w:val="0"/>
          <w:sz w:val="28"/>
          <w:szCs w:val="28"/>
        </w:rPr>
        <w:t>其他事项</w:t>
      </w:r>
    </w:p>
    <w:p w:rsidR="0089573D" w:rsidRPr="00BC0F2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lastRenderedPageBreak/>
        <w:t>《国家税务总局关于个人所得税自行纳税申报有关问题的公告》（2018年第62号）第一条第二款与本公告不一致的，依照本公告执行。</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特此公告。</w:t>
      </w:r>
    </w:p>
    <w:p w:rsid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sidRPr="0089573D">
        <w:rPr>
          <w:rFonts w:ascii="仿宋_GB2312" w:eastAsia="仿宋_GB2312" w:hAnsi="微软雅黑" w:cs="宋体" w:hint="eastAsia"/>
          <w:color w:val="333333"/>
          <w:kern w:val="0"/>
          <w:sz w:val="28"/>
          <w:szCs w:val="28"/>
        </w:rPr>
        <w:t>附件：1.个人所得税税率表（综合所得适用）</w:t>
      </w:r>
    </w:p>
    <w:p w:rsidR="0089573D" w:rsidRPr="0089573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Pr>
          <w:rFonts w:ascii="仿宋_GB2312" w:eastAsia="仿宋_GB2312" w:hAnsi="微软雅黑" w:cs="宋体" w:hint="eastAsia"/>
          <w:color w:val="333333"/>
          <w:kern w:val="0"/>
          <w:sz w:val="28"/>
          <w:szCs w:val="28"/>
        </w:rPr>
        <w:t xml:space="preserve">     </w:t>
      </w:r>
      <w:r w:rsidRPr="0089573D">
        <w:rPr>
          <w:rFonts w:ascii="仿宋_GB2312" w:eastAsia="仿宋_GB2312" w:hAnsi="微软雅黑" w:cs="宋体" w:hint="eastAsia"/>
          <w:color w:val="333333"/>
          <w:kern w:val="0"/>
          <w:sz w:val="28"/>
          <w:szCs w:val="28"/>
        </w:rPr>
        <w:t xml:space="preserve"> 2.个人所得税年度自行纳税申报表（A表、简易版、问答版）</w:t>
      </w:r>
    </w:p>
    <w:p w:rsidR="0089573D" w:rsidRPr="00BC0F2D" w:rsidRDefault="0089573D" w:rsidP="0089573D">
      <w:pPr>
        <w:widowControl/>
        <w:shd w:val="clear" w:color="auto" w:fill="FFFFFF"/>
        <w:spacing w:line="540" w:lineRule="atLeast"/>
        <w:ind w:firstLine="480"/>
        <w:rPr>
          <w:rFonts w:ascii="仿宋_GB2312" w:eastAsia="仿宋_GB2312" w:hAnsi="微软雅黑" w:cs="宋体" w:hint="eastAsia"/>
          <w:color w:val="333333"/>
          <w:kern w:val="0"/>
          <w:sz w:val="28"/>
          <w:szCs w:val="28"/>
        </w:rPr>
      </w:pPr>
      <w:r>
        <w:rPr>
          <w:rFonts w:ascii="仿宋_GB2312" w:eastAsia="仿宋_GB2312" w:hAnsi="微软雅黑" w:cs="宋体" w:hint="eastAsia"/>
          <w:color w:val="333333"/>
          <w:kern w:val="0"/>
          <w:sz w:val="28"/>
          <w:szCs w:val="28"/>
        </w:rPr>
        <w:t xml:space="preserve">      </w:t>
      </w:r>
      <w:r w:rsidRPr="0089573D">
        <w:rPr>
          <w:rFonts w:ascii="仿宋_GB2312" w:eastAsia="仿宋_GB2312" w:hAnsi="微软雅黑" w:cs="宋体" w:hint="eastAsia"/>
          <w:color w:val="333333"/>
          <w:kern w:val="0"/>
          <w:sz w:val="28"/>
          <w:szCs w:val="28"/>
        </w:rPr>
        <w:t>3.个人所得税年度自行纳税申报表（B表）.</w:t>
      </w:r>
    </w:p>
    <w:p w:rsidR="00BC0F2D" w:rsidRPr="00BC0F2D" w:rsidRDefault="00BC0F2D" w:rsidP="00BC0F2D">
      <w:pPr>
        <w:widowControl/>
        <w:shd w:val="clear" w:color="auto" w:fill="FFFFFF"/>
        <w:spacing w:line="540" w:lineRule="atLeast"/>
        <w:ind w:firstLine="480"/>
        <w:rPr>
          <w:rFonts w:ascii="仿宋_GB2312" w:eastAsia="仿宋_GB2312" w:hAnsi="微软雅黑" w:cs="宋体"/>
          <w:color w:val="333333"/>
          <w:kern w:val="0"/>
          <w:sz w:val="28"/>
          <w:szCs w:val="28"/>
        </w:rPr>
      </w:pPr>
    </w:p>
    <w:p w:rsidR="00BC0F2D" w:rsidRPr="00BC0F2D" w:rsidRDefault="00BC0F2D" w:rsidP="00BC0F2D">
      <w:pPr>
        <w:widowControl/>
        <w:shd w:val="clear" w:color="auto" w:fill="FFFFFF"/>
        <w:spacing w:line="540" w:lineRule="atLeast"/>
        <w:ind w:firstLine="480"/>
        <w:jc w:val="right"/>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国家税务总局</w:t>
      </w:r>
    </w:p>
    <w:p w:rsidR="00BC0F2D" w:rsidRPr="00BC0F2D" w:rsidRDefault="00BC0F2D" w:rsidP="00BC0F2D">
      <w:pPr>
        <w:widowControl/>
        <w:shd w:val="clear" w:color="auto" w:fill="FFFFFF"/>
        <w:spacing w:line="540" w:lineRule="atLeast"/>
        <w:ind w:firstLine="480"/>
        <w:jc w:val="right"/>
        <w:rPr>
          <w:rFonts w:ascii="仿宋_GB2312" w:eastAsia="仿宋_GB2312" w:hAnsi="微软雅黑" w:cs="宋体"/>
          <w:color w:val="333333"/>
          <w:kern w:val="0"/>
          <w:sz w:val="28"/>
          <w:szCs w:val="28"/>
        </w:rPr>
      </w:pPr>
      <w:r w:rsidRPr="00BC0F2D">
        <w:rPr>
          <w:rFonts w:ascii="仿宋_GB2312" w:eastAsia="仿宋_GB2312" w:hAnsi="微软雅黑" w:cs="宋体" w:hint="eastAsia"/>
          <w:color w:val="333333"/>
          <w:kern w:val="0"/>
          <w:sz w:val="28"/>
          <w:szCs w:val="28"/>
        </w:rPr>
        <w:t>20</w:t>
      </w:r>
      <w:r w:rsidR="0089573D">
        <w:rPr>
          <w:rFonts w:ascii="仿宋_GB2312" w:eastAsia="仿宋_GB2312" w:hAnsi="微软雅黑" w:cs="宋体"/>
          <w:color w:val="333333"/>
          <w:kern w:val="0"/>
          <w:sz w:val="28"/>
          <w:szCs w:val="28"/>
        </w:rPr>
        <w:t>21</w:t>
      </w:r>
      <w:r w:rsidRPr="00BC0F2D">
        <w:rPr>
          <w:rFonts w:ascii="仿宋_GB2312" w:eastAsia="仿宋_GB2312" w:hAnsi="微软雅黑" w:cs="宋体" w:hint="eastAsia"/>
          <w:color w:val="333333"/>
          <w:kern w:val="0"/>
          <w:sz w:val="28"/>
          <w:szCs w:val="28"/>
        </w:rPr>
        <w:t>年</w:t>
      </w:r>
      <w:r w:rsidR="0089573D">
        <w:rPr>
          <w:rFonts w:ascii="仿宋_GB2312" w:eastAsia="仿宋_GB2312" w:hAnsi="微软雅黑" w:cs="宋体"/>
          <w:color w:val="333333"/>
          <w:kern w:val="0"/>
          <w:sz w:val="28"/>
          <w:szCs w:val="28"/>
        </w:rPr>
        <w:t>2</w:t>
      </w:r>
      <w:r w:rsidRPr="00BC0F2D">
        <w:rPr>
          <w:rFonts w:ascii="仿宋_GB2312" w:eastAsia="仿宋_GB2312" w:hAnsi="微软雅黑" w:cs="宋体" w:hint="eastAsia"/>
          <w:color w:val="333333"/>
          <w:kern w:val="0"/>
          <w:sz w:val="28"/>
          <w:szCs w:val="28"/>
        </w:rPr>
        <w:t>月</w:t>
      </w:r>
      <w:r w:rsidR="0089573D">
        <w:rPr>
          <w:rFonts w:ascii="仿宋_GB2312" w:eastAsia="仿宋_GB2312" w:hAnsi="微软雅黑" w:cs="宋体"/>
          <w:color w:val="333333"/>
          <w:kern w:val="0"/>
          <w:sz w:val="28"/>
          <w:szCs w:val="28"/>
        </w:rPr>
        <w:t>8</w:t>
      </w:r>
      <w:bookmarkStart w:id="0" w:name="_GoBack"/>
      <w:bookmarkEnd w:id="0"/>
      <w:r w:rsidRPr="00BC0F2D">
        <w:rPr>
          <w:rFonts w:ascii="仿宋_GB2312" w:eastAsia="仿宋_GB2312" w:hAnsi="微软雅黑" w:cs="宋体" w:hint="eastAsia"/>
          <w:color w:val="333333"/>
          <w:kern w:val="0"/>
          <w:sz w:val="28"/>
          <w:szCs w:val="28"/>
        </w:rPr>
        <w:t>日</w:t>
      </w:r>
    </w:p>
    <w:p w:rsidR="00BC0F2D" w:rsidRPr="00BC0F2D" w:rsidRDefault="00BC0F2D" w:rsidP="00BC0F2D">
      <w:pPr>
        <w:jc w:val="left"/>
        <w:rPr>
          <w:rFonts w:ascii="方正小标宋简体" w:eastAsia="方正小标宋简体"/>
          <w:sz w:val="28"/>
          <w:szCs w:val="28"/>
        </w:rPr>
      </w:pPr>
    </w:p>
    <w:sectPr w:rsidR="00BC0F2D" w:rsidRPr="00BC0F2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50B" w:rsidRDefault="00BF150B" w:rsidP="00BC0F2D">
      <w:r>
        <w:separator/>
      </w:r>
    </w:p>
  </w:endnote>
  <w:endnote w:type="continuationSeparator" w:id="0">
    <w:p w:rsidR="00BF150B" w:rsidRDefault="00BF150B" w:rsidP="00BC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96365"/>
      <w:docPartObj>
        <w:docPartGallery w:val="Page Numbers (Bottom of Page)"/>
        <w:docPartUnique/>
      </w:docPartObj>
    </w:sdtPr>
    <w:sdtEndPr/>
    <w:sdtContent>
      <w:p w:rsidR="00F54E04" w:rsidRDefault="00F54E04">
        <w:pPr>
          <w:pStyle w:val="a5"/>
          <w:jc w:val="center"/>
        </w:pPr>
        <w:r>
          <w:fldChar w:fldCharType="begin"/>
        </w:r>
        <w:r>
          <w:instrText>PAGE   \* MERGEFORMAT</w:instrText>
        </w:r>
        <w:r>
          <w:fldChar w:fldCharType="separate"/>
        </w:r>
        <w:r w:rsidR="0089573D" w:rsidRPr="0089573D">
          <w:rPr>
            <w:noProof/>
            <w:lang w:val="zh-CN"/>
          </w:rPr>
          <w:t>7</w:t>
        </w:r>
        <w:r>
          <w:fldChar w:fldCharType="end"/>
        </w:r>
      </w:p>
    </w:sdtContent>
  </w:sdt>
  <w:p w:rsidR="00F54E04" w:rsidRDefault="00F54E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50B" w:rsidRDefault="00BF150B" w:rsidP="00BC0F2D">
      <w:r>
        <w:separator/>
      </w:r>
    </w:p>
  </w:footnote>
  <w:footnote w:type="continuationSeparator" w:id="0">
    <w:p w:rsidR="00BF150B" w:rsidRDefault="00BF150B" w:rsidP="00BC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09"/>
    <w:rsid w:val="00023A11"/>
    <w:rsid w:val="00025752"/>
    <w:rsid w:val="000777C7"/>
    <w:rsid w:val="00107165"/>
    <w:rsid w:val="0038799B"/>
    <w:rsid w:val="00422309"/>
    <w:rsid w:val="00454137"/>
    <w:rsid w:val="006D284B"/>
    <w:rsid w:val="0089573D"/>
    <w:rsid w:val="009014E1"/>
    <w:rsid w:val="00934BB4"/>
    <w:rsid w:val="009B6295"/>
    <w:rsid w:val="00BC0F2D"/>
    <w:rsid w:val="00BF150B"/>
    <w:rsid w:val="00BF47E6"/>
    <w:rsid w:val="00F0357B"/>
    <w:rsid w:val="00F5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2867D"/>
  <w15:chartTrackingRefBased/>
  <w15:docId w15:val="{61A8420E-04FF-44EF-9F8E-1B11AD1B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F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0F2D"/>
    <w:rPr>
      <w:sz w:val="18"/>
      <w:szCs w:val="18"/>
    </w:rPr>
  </w:style>
  <w:style w:type="paragraph" w:styleId="a5">
    <w:name w:val="footer"/>
    <w:basedOn w:val="a"/>
    <w:link w:val="a6"/>
    <w:uiPriority w:val="99"/>
    <w:unhideWhenUsed/>
    <w:rsid w:val="00BC0F2D"/>
    <w:pPr>
      <w:tabs>
        <w:tab w:val="center" w:pos="4153"/>
        <w:tab w:val="right" w:pos="8306"/>
      </w:tabs>
      <w:snapToGrid w:val="0"/>
      <w:jc w:val="left"/>
    </w:pPr>
    <w:rPr>
      <w:sz w:val="18"/>
      <w:szCs w:val="18"/>
    </w:rPr>
  </w:style>
  <w:style w:type="character" w:customStyle="1" w:styleId="a6">
    <w:name w:val="页脚 字符"/>
    <w:basedOn w:val="a0"/>
    <w:link w:val="a5"/>
    <w:uiPriority w:val="99"/>
    <w:rsid w:val="00BC0F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9395">
      <w:bodyDiv w:val="1"/>
      <w:marLeft w:val="0"/>
      <w:marRight w:val="0"/>
      <w:marTop w:val="0"/>
      <w:marBottom w:val="0"/>
      <w:divBdr>
        <w:top w:val="none" w:sz="0" w:space="0" w:color="auto"/>
        <w:left w:val="none" w:sz="0" w:space="0" w:color="auto"/>
        <w:bottom w:val="none" w:sz="0" w:space="0" w:color="auto"/>
        <w:right w:val="none" w:sz="0" w:space="0" w:color="auto"/>
      </w:divBdr>
      <w:divsChild>
        <w:div w:id="1759449073">
          <w:marLeft w:val="0"/>
          <w:marRight w:val="0"/>
          <w:marTop w:val="100"/>
          <w:marBottom w:val="100"/>
          <w:divBdr>
            <w:top w:val="none" w:sz="0" w:space="0" w:color="auto"/>
            <w:left w:val="none" w:sz="0" w:space="0" w:color="auto"/>
            <w:bottom w:val="none" w:sz="0" w:space="0" w:color="auto"/>
            <w:right w:val="none" w:sz="0" w:space="0" w:color="auto"/>
          </w:divBdr>
          <w:divsChild>
            <w:div w:id="1460150731">
              <w:marLeft w:val="0"/>
              <w:marRight w:val="0"/>
              <w:marTop w:val="0"/>
              <w:marBottom w:val="0"/>
              <w:divBdr>
                <w:top w:val="single" w:sz="6" w:space="0" w:color="DEDCD8"/>
                <w:left w:val="single" w:sz="6" w:space="0" w:color="DEDCD8"/>
                <w:bottom w:val="single" w:sz="6" w:space="0" w:color="DEDCD8"/>
                <w:right w:val="single" w:sz="6" w:space="0" w:color="DEDCD8"/>
              </w:divBdr>
              <w:divsChild>
                <w:div w:id="21355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6326">
      <w:bodyDiv w:val="1"/>
      <w:marLeft w:val="0"/>
      <w:marRight w:val="0"/>
      <w:marTop w:val="0"/>
      <w:marBottom w:val="0"/>
      <w:divBdr>
        <w:top w:val="none" w:sz="0" w:space="0" w:color="auto"/>
        <w:left w:val="none" w:sz="0" w:space="0" w:color="auto"/>
        <w:bottom w:val="none" w:sz="0" w:space="0" w:color="auto"/>
        <w:right w:val="none" w:sz="0" w:space="0" w:color="auto"/>
      </w:divBdr>
      <w:divsChild>
        <w:div w:id="690181104">
          <w:marLeft w:val="0"/>
          <w:marRight w:val="0"/>
          <w:marTop w:val="100"/>
          <w:marBottom w:val="100"/>
          <w:divBdr>
            <w:top w:val="none" w:sz="0" w:space="0" w:color="auto"/>
            <w:left w:val="none" w:sz="0" w:space="0" w:color="auto"/>
            <w:bottom w:val="none" w:sz="0" w:space="0" w:color="auto"/>
            <w:right w:val="none" w:sz="0" w:space="0" w:color="auto"/>
          </w:divBdr>
          <w:divsChild>
            <w:div w:id="547954024">
              <w:marLeft w:val="0"/>
              <w:marRight w:val="0"/>
              <w:marTop w:val="0"/>
              <w:marBottom w:val="0"/>
              <w:divBdr>
                <w:top w:val="single" w:sz="6" w:space="0" w:color="DEDCD8"/>
                <w:left w:val="single" w:sz="6" w:space="0" w:color="DEDCD8"/>
                <w:bottom w:val="single" w:sz="6" w:space="0" w:color="DEDCD8"/>
                <w:right w:val="single" w:sz="6" w:space="0" w:color="DEDCD8"/>
              </w:divBdr>
              <w:divsChild>
                <w:div w:id="781724592">
                  <w:marLeft w:val="0"/>
                  <w:marRight w:val="0"/>
                  <w:marTop w:val="0"/>
                  <w:marBottom w:val="0"/>
                  <w:divBdr>
                    <w:top w:val="none" w:sz="0" w:space="0" w:color="auto"/>
                    <w:left w:val="none" w:sz="0" w:space="0" w:color="auto"/>
                    <w:bottom w:val="single" w:sz="6" w:space="0" w:color="DEDCD8"/>
                    <w:right w:val="none" w:sz="0" w:space="0" w:color="auto"/>
                  </w:divBdr>
                </w:div>
              </w:divsChild>
            </w:div>
          </w:divsChild>
        </w:div>
      </w:divsChild>
    </w:div>
    <w:div w:id="1674454819">
      <w:bodyDiv w:val="1"/>
      <w:marLeft w:val="0"/>
      <w:marRight w:val="0"/>
      <w:marTop w:val="0"/>
      <w:marBottom w:val="0"/>
      <w:divBdr>
        <w:top w:val="none" w:sz="0" w:space="0" w:color="auto"/>
        <w:left w:val="none" w:sz="0" w:space="0" w:color="auto"/>
        <w:bottom w:val="none" w:sz="0" w:space="0" w:color="auto"/>
        <w:right w:val="none" w:sz="0" w:space="0" w:color="auto"/>
      </w:divBdr>
      <w:divsChild>
        <w:div w:id="1401710718">
          <w:marLeft w:val="0"/>
          <w:marRight w:val="0"/>
          <w:marTop w:val="100"/>
          <w:marBottom w:val="100"/>
          <w:divBdr>
            <w:top w:val="none" w:sz="0" w:space="0" w:color="auto"/>
            <w:left w:val="none" w:sz="0" w:space="0" w:color="auto"/>
            <w:bottom w:val="none" w:sz="0" w:space="0" w:color="auto"/>
            <w:right w:val="none" w:sz="0" w:space="0" w:color="auto"/>
          </w:divBdr>
          <w:divsChild>
            <w:div w:id="2037653695">
              <w:marLeft w:val="0"/>
              <w:marRight w:val="0"/>
              <w:marTop w:val="0"/>
              <w:marBottom w:val="0"/>
              <w:divBdr>
                <w:top w:val="single" w:sz="6" w:space="0" w:color="DEDCD8"/>
                <w:left w:val="single" w:sz="6" w:space="0" w:color="DEDCD8"/>
                <w:bottom w:val="single" w:sz="6" w:space="0" w:color="DEDCD8"/>
                <w:right w:val="single" w:sz="6" w:space="0" w:color="DEDCD8"/>
              </w:divBdr>
              <w:divsChild>
                <w:div w:id="1619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478</Words>
  <Characters>2728</Characters>
  <Application>Microsoft Office Word</Application>
  <DocSecurity>0</DocSecurity>
  <Lines>22</Lines>
  <Paragraphs>6</Paragraphs>
  <ScaleCrop>false</ScaleCrop>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tourist</cp:lastModifiedBy>
  <cp:revision>11</cp:revision>
  <dcterms:created xsi:type="dcterms:W3CDTF">2020-04-07T02:42:00Z</dcterms:created>
  <dcterms:modified xsi:type="dcterms:W3CDTF">2021-02-28T07:33:00Z</dcterms:modified>
</cp:coreProperties>
</file>